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Lei 14.905/24: a SELIC continua regendo a conta</w:t>
      </w:r>
    </w:p>
    <w:p>
      <w:r>
        <w:t>Vinícius Costa, perito contábil</w:t>
      </w:r>
    </w:p>
    <w:p>
      <w:r>
        <w:t>Artigo de opinião | 14 de setembro de 2026</w:t>
      </w:r>
    </w:p>
    <w:p>
      <w:r>
        <w:t>A meu ver, a Lei nº 14.905/2024 deu uma nova apresentação a uma conta que continua dependente da SELIC. Separou a correção monetária dos juros legais, mas manteve uma relação direta entre as duas parcelas: a inflação corrige o capital e também é utilizada para determinar quanto da SELIC será considerado juros.</w:t>
      </w:r>
    </w:p>
    <w:p>
      <w:r>
        <w:t>É por isso que utilizo a expressão ‘maquiagem’. A divisão pode dar a impressão de que a atualização passou a funcionar inteiramente por juros simples, quando parte do crescimento da dívida continua ocorrendo pela multiplicação sucessiva dos fatores de correção.</w:t>
      </w:r>
    </w:p>
    <w:p>
      <w:r>
        <w:t>O ponto que quero discutir é esse: a palavra ‘simples’ descreve a acumulação dos juros legais. Ela, sozinha, não explica como o saldo da dívida cresce.</w:t>
      </w:r>
    </w:p>
    <w:p>
      <w:r>
        <w:t>A lei estabeleceu o IPCA como índice de atualização quando não houver índice convencionado nem previsão em lei específica. Para os juros legais, o artigo 406 do Código Civil passou a adotar a SELIC deduzida da atualização monetária. Esse é o regime que examino aqui. Não estou afirmando que toda dívida, contrato ou título judicial deva receber o mesmo tratamento. [1]</w:t>
      </w:r>
    </w:p>
    <w:p>
      <w:r>
        <w:t>Na conta regulamentada pelo Conselho Monetário Nacional, a dedução não é uma simples subtração de percentuais. A Taxa Legal mensal resulta da divisão do fator SELIC pelo fator IPCA 15 do mês anterior, descontada a unidade, com piso zero. Em taxa decimal, podemos escrever: [2]</w:t>
      </w:r>
    </w:p>
    <w:p>
      <w:pPr>
        <w:spacing w:after="200"/>
      </w:pPr>
      <m:oMath>
        <m:r>
          <m:t>j = máximo(F_SELIC ÷ F_IPCA15 − 1; 0)</m:t>
        </m:r>
      </m:oMath>
    </w:p>
    <w:p>
      <w:r>
        <w:t>Esse detalhe faz diferença. A correção da obrigação usa o IPCA, enquanto o cálculo da Taxa Legal utiliza o IPCA 15. Há, portanto, índices e referências temporais que precisam ser respeitados. A expressão ‘SELIC menos inflação’ explica a ideia, mas não substitui a metodologia oficial.</w:t>
      </w:r>
    </w:p>
    <w:p>
      <w:r>
        <w:t>Para enxergar a relação econômica, vamos primeiro simplificar. Imagine um único período, inflação inferior à SELIC e o mesmo índice de inflação nas duas parcelas, sem acionamento do piso zero. Chamando a SELIC de s e a inflação de p, temos:</w:t>
      </w:r>
    </w:p>
    <w:p>
      <w:pPr>
        <w:spacing w:after="200"/>
      </w:pPr>
      <m:oMath>
        <m:r>
          <m:t>j = (1 + s) ÷ (1 + p) − 1</m:t>
        </m:r>
      </m:oMath>
    </w:p>
    <w:p>
      <w:pPr>
        <w:spacing w:after="200"/>
      </w:pPr>
      <m:oMath>
        <m:r>
          <m:t>(1 + p) × (1 + j) = 1 + s</m:t>
        </m:r>
      </m:oMath>
    </w:p>
    <w:p>
      <w:r>
        <w:t>Nesse exemplo, a inflação não entra como um acréscimo independente à SELIC. Ela é retirada na formação dos juros e reaparece na correção do capital. É nesse sentido que digo que a SELIC continua regendo a conta. A separação das rubricas não torna independentes grandezas que foram construídas uma a partir da outra.</w:t>
      </w:r>
    </w:p>
    <w:p>
      <w:r>
        <w:t>Agora vem a parte que costuma passar despercebida. A correção monetária acumula os fatores mensais por multiplicação. Em dois meses, a expressão é:</w:t>
      </w:r>
    </w:p>
    <w:p>
      <w:pPr>
        <w:spacing w:after="200"/>
      </w:pPr>
      <m:oMath>
        <m:r>
          <m:t>Capital corrigido = C × (1 + p₁) × (1 + p₂)</m:t>
        </m:r>
      </m:oMath>
    </w:p>
    <w:p>
      <w:pPr>
        <w:spacing w:after="200"/>
      </w:pPr>
      <m:oMath>
        <m:r>
          <m:t>Capital corrigido = C × (1 + p₁ + p₂ + p₁p₂)</m:t>
        </m:r>
      </m:oMath>
    </w:p>
    <w:p>
      <w:r>
        <w:t>O termo p₁p₂ mostra o efeito da composição. Com R$ 100.000,00 e correção hipotética de 0,5% em cada um de dois meses, o capital corrigido chega a R$ 101.002,50. Se apenas somássemos os dois percentuais, chegaríamos a R$ 101.000,00. Os R$ 2,50 de diferença surgem da multiplicação entre os fatores.</w:t>
      </w:r>
    </w:p>
    <w:p>
      <w:r>
        <w:t>Isso não transforma correção monetária, por si só, em juros ou prova de anatocismo. São classificações jurídicas distintas. O que a conta demonstra é um efeito multiplicativo sobre o saldo, que não desaparece quando a outra parcela recebe o nome de juros simples.</w:t>
      </w:r>
    </w:p>
    <w:p>
      <w:r>
        <w:t>A Resolução CMN nº 5.171/2024 determina a acumulação simples das taxas mensais de juros legais. Também determina que esses juros incidam sobre o valor monetariamente atualizado, quando houver atualização. Para meses completos e coincidentes, sem pagamentos intermediários, a estrutura pode ser representada assim: [2]</w:t>
      </w:r>
    </w:p>
    <w:p>
      <w:pPr>
        <w:spacing w:after="200"/>
      </w:pPr>
      <m:oMath>
        <m:r>
          <m:t>V = C × [∏ (1 + pₘ)] × [1 + Σ jₘ]</m:t>
        </m:r>
      </m:oMath>
    </w:p>
    <w:p>
      <w:r>
        <w:t>Nessa expressão, C é o capital original, pₘ é a correção de cada mês e jₘ é a Taxa Legal mensal em forma decimal. O símbolo ∏ indica a multiplicação dos fatores; Σ indica a soma das taxas. A correção é composta por fatores sucessivos, os juros são acumulados por soma e a taxa acumulada incide sobre o capital corrigido.</w:t>
      </w:r>
    </w:p>
    <w:p>
      <w:r>
        <w:t>Vamos colocar valores nessa estrutura. Considere R$ 100.000,00 por 24 meses completos, sem pagamentos, multa ou despesas. É uma simulação, com inflação de 0,5% e SELIC de 1% em todos os meses. Para isolar o mecanismo, também suponho IPCA e IPCA 15 iguais, com essas taxas constantes nos meses anteriores usados pela regulamentação. Não são índices históricos.</w:t>
      </w:r>
    </w:p>
    <w:p>
      <w:pPr>
        <w:spacing w:after="200"/>
      </w:pPr>
      <m:oMath>
        <m:r>
          <m:t>Taxa Legal mensal = (1,01 ÷ 1,005 − 1) × 100 = 0,497512%</m:t>
        </m:r>
      </m:oMath>
    </w:p>
    <w:p>
      <w:pPr>
        <w:spacing w:after="200"/>
      </w:pPr>
      <m:oMath>
        <m:r>
          <m:t>Taxa Legal acumulada = 24 × 0,497512% = 11,940288%</m:t>
        </m:r>
      </m:oMath>
    </w:p>
    <w:p>
      <w:pPr>
        <w:spacing w:after="200"/>
      </w:pPr>
      <m:oMath>
        <m:r>
          <m:t>V = 100.000 × (1,005 elevado a 24) × (1 + 0,11940288) = R$ 126.174,59</m:t>
        </m:r>
      </m:oMath>
    </w:p>
    <w:p>
      <w:r>
        <w:t>O resultado reúne R$ 100.000,00 de capital original, R$ 12.715,98 de correção monetária e R$ 13.458,61 de juros legais. A taxa mensal foi arredondada a seis casas decimais percentuais, conforme a metodologia; os valores monetários foram arredondados ao final. [2] [3]</w:t>
      </w:r>
    </w:p>
    <w:p>
      <w:r>
        <w:t>A comparação com outras formas de acumular a SELIC ajuda a perceber por que é insuficiente olhar apenas para o nome das parcelas. Mantidas as mesmas premissas, os valores seriam: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</w:tblGrid>
      <w:tr>
        <w:tc>
          <w:tcPr>
            <w:tcW w:type="dxa" w:w="2448"/>
            <w:shd w:fill="E6E6E6"/>
          </w:tcPr>
          <w:p>
            <w:pPr>
              <w:spacing w:after="100" w:before="100"/>
            </w:pPr>
            <w:r>
              <w:rPr>
                <w:b/>
                <w:sz w:val="19"/>
              </w:rPr>
              <w:t>Prazo</w:t>
            </w:r>
          </w:p>
        </w:tc>
        <w:tc>
          <w:tcPr>
            <w:tcW w:type="dxa" w:w="2448"/>
            <w:shd w:fill="E6E6E6"/>
          </w:tcPr>
          <w:p>
            <w:pPr>
              <w:spacing w:after="100" w:before="100"/>
            </w:pPr>
            <w:r>
              <w:rPr>
                <w:b/>
                <w:sz w:val="19"/>
              </w:rPr>
              <w:t>Correção + Taxa Legal</w:t>
            </w:r>
          </w:p>
        </w:tc>
        <w:tc>
          <w:tcPr>
            <w:tcW w:type="dxa" w:w="2448"/>
            <w:shd w:fill="E6E6E6"/>
          </w:tcPr>
          <w:p>
            <w:pPr>
              <w:spacing w:after="100" w:before="100"/>
            </w:pPr>
            <w:r>
              <w:rPr>
                <w:b/>
                <w:sz w:val="19"/>
              </w:rPr>
              <w:t>SELIC por soma simples</w:t>
            </w:r>
          </w:p>
        </w:tc>
        <w:tc>
          <w:tcPr>
            <w:tcW w:type="dxa" w:w="2448"/>
            <w:shd w:fill="E6E6E6"/>
          </w:tcPr>
          <w:p>
            <w:pPr>
              <w:spacing w:after="100" w:before="100"/>
            </w:pPr>
            <w:r>
              <w:rPr>
                <w:b/>
                <w:sz w:val="19"/>
              </w:rPr>
              <w:t>SELIC composta</w:t>
            </w:r>
          </w:p>
        </w:tc>
      </w:tr>
      <w:tr>
        <w:tc>
          <w:tcPr>
            <w:tcW w:type="dxa" w:w="2448"/>
          </w:tcPr>
          <w:p>
            <w:pPr>
              <w:spacing w:after="100" w:before="100"/>
            </w:pPr>
            <w:r>
              <w:rPr>
                <w:b w:val="0"/>
                <w:sz w:val="19"/>
              </w:rPr>
              <w:t>2 meses</w:t>
            </w:r>
          </w:p>
        </w:tc>
        <w:tc>
          <w:tcPr>
            <w:tcW w:type="dxa" w:w="2448"/>
          </w:tcPr>
          <w:p>
            <w:pPr>
              <w:spacing w:after="100" w:before="100"/>
            </w:pPr>
            <w:r>
              <w:rPr>
                <w:b w:val="0"/>
                <w:sz w:val="19"/>
              </w:rPr>
              <w:t>R$ 102.007,50</w:t>
            </w:r>
          </w:p>
        </w:tc>
        <w:tc>
          <w:tcPr>
            <w:tcW w:type="dxa" w:w="2448"/>
          </w:tcPr>
          <w:p>
            <w:pPr>
              <w:spacing w:after="100" w:before="100"/>
            </w:pPr>
            <w:r>
              <w:rPr>
                <w:b w:val="0"/>
                <w:sz w:val="19"/>
              </w:rPr>
              <w:t>R$ 102.000,00</w:t>
            </w:r>
          </w:p>
        </w:tc>
        <w:tc>
          <w:tcPr>
            <w:tcW w:type="dxa" w:w="2448"/>
          </w:tcPr>
          <w:p>
            <w:pPr>
              <w:spacing w:after="100" w:before="100"/>
            </w:pPr>
            <w:r>
              <w:rPr>
                <w:b w:val="0"/>
                <w:sz w:val="19"/>
              </w:rPr>
              <w:t>R$ 102.010,00</w:t>
            </w:r>
          </w:p>
        </w:tc>
      </w:tr>
      <w:tr>
        <w:tc>
          <w:tcPr>
            <w:tcW w:type="dxa" w:w="2448"/>
          </w:tcPr>
          <w:p>
            <w:pPr>
              <w:spacing w:after="100" w:before="100"/>
            </w:pPr>
            <w:r>
              <w:rPr>
                <w:b w:val="0"/>
                <w:sz w:val="19"/>
              </w:rPr>
              <w:t>12 meses</w:t>
            </w:r>
          </w:p>
        </w:tc>
        <w:tc>
          <w:tcPr>
            <w:tcW w:type="dxa" w:w="2448"/>
          </w:tcPr>
          <w:p>
            <w:pPr>
              <w:spacing w:after="100" w:before="100"/>
            </w:pPr>
            <w:r>
              <w:rPr>
                <w:b w:val="0"/>
                <w:sz w:val="19"/>
              </w:rPr>
              <w:t>R$ 112.506,15</w:t>
            </w:r>
          </w:p>
        </w:tc>
        <w:tc>
          <w:tcPr>
            <w:tcW w:type="dxa" w:w="2448"/>
          </w:tcPr>
          <w:p>
            <w:pPr>
              <w:spacing w:after="100" w:before="100"/>
            </w:pPr>
            <w:r>
              <w:rPr>
                <w:b w:val="0"/>
                <w:sz w:val="19"/>
              </w:rPr>
              <w:t>R$ 112.000,00</w:t>
            </w:r>
          </w:p>
        </w:tc>
        <w:tc>
          <w:tcPr>
            <w:tcW w:type="dxa" w:w="2448"/>
          </w:tcPr>
          <w:p>
            <w:pPr>
              <w:spacing w:after="100" w:before="100"/>
            </w:pPr>
            <w:r>
              <w:rPr>
                <w:b w:val="0"/>
                <w:sz w:val="19"/>
              </w:rPr>
              <w:t>R$ 112.682,50</w:t>
            </w:r>
          </w:p>
        </w:tc>
      </w:tr>
      <w:tr>
        <w:tc>
          <w:tcPr>
            <w:tcW w:type="dxa" w:w="2448"/>
          </w:tcPr>
          <w:p>
            <w:pPr>
              <w:spacing w:after="100" w:before="100"/>
            </w:pPr>
            <w:r>
              <w:rPr>
                <w:b w:val="0"/>
                <w:sz w:val="19"/>
              </w:rPr>
              <w:t>24 meses</w:t>
            </w:r>
          </w:p>
        </w:tc>
        <w:tc>
          <w:tcPr>
            <w:tcW w:type="dxa" w:w="2448"/>
          </w:tcPr>
          <w:p>
            <w:pPr>
              <w:spacing w:after="100" w:before="100"/>
            </w:pPr>
            <w:r>
              <w:rPr>
                <w:b w:val="0"/>
                <w:sz w:val="19"/>
              </w:rPr>
              <w:t>R$ 126.174,59</w:t>
            </w:r>
          </w:p>
        </w:tc>
        <w:tc>
          <w:tcPr>
            <w:tcW w:type="dxa" w:w="2448"/>
          </w:tcPr>
          <w:p>
            <w:pPr>
              <w:spacing w:after="100" w:before="100"/>
            </w:pPr>
            <w:r>
              <w:rPr>
                <w:b w:val="0"/>
                <w:sz w:val="19"/>
              </w:rPr>
              <w:t>R$ 124.000,00</w:t>
            </w:r>
          </w:p>
        </w:tc>
        <w:tc>
          <w:tcPr>
            <w:tcW w:type="dxa" w:w="2448"/>
          </w:tcPr>
          <w:p>
            <w:pPr>
              <w:spacing w:after="100" w:before="100"/>
            </w:pPr>
            <w:r>
              <w:rPr>
                <w:b w:val="0"/>
                <w:sz w:val="19"/>
              </w:rPr>
              <w:t>R$ 126.973,46</w:t>
            </w:r>
          </w:p>
        </w:tc>
      </w:tr>
    </w:tbl>
    <w:p>
      <w:r>
        <w:rPr>
          <w:i/>
        </w:rPr>
        <w:t>Simulação com taxas constantes. Cálculo próprio.</w:t>
      </w:r>
    </w:p>
    <w:p>
      <w:r>
        <w:t>Em 24 meses, a estrutura simulada de correção e Taxa Legal produz R$ 2.174,59 a mais que a soma simples dos percentuais mensais da SELIC. Ao mesmo tempo, fica R$ 798,87 abaixo da SELIC integralmente composta. A diferença é pequena nos primeiros meses e ganha expressão conforme o prazo aumenta.</w:t>
      </w:r>
    </w:p>
    <w:p>
      <w:r>
        <w:t>Essa comparação não autoriza tratar a SELIC como teto universal. Na hipótese simplificada, com índices e períodos alinhados e juros residuais positivos, a SELIC composta funciona como limite superior matemático. Na aplicação efetiva, IPCA e IPCA 15 não são a mesma série, há referências temporais próprias e existe piso zero para a Taxa Legal. Essas diferenças impedem transportar a identidade de um período para qualquer dívida e qualquer intervalo.</w:t>
      </w:r>
    </w:p>
    <w:p>
      <w:r>
        <w:t>Minha crítica permanece: a SELIC continua determinando a formação dos juros legais, enquanto a correção preserva a acumulação multiplicativa. A divisão das rubricas precisa ser acompanhada dessa explicação.</w:t>
      </w:r>
    </w:p>
    <w:p>
      <w:r>
        <w:t>É nesse sentido que vejo uma ‘maquiagem’ na apresentação econômica do mecanismo. Dizer apenas que os juros são simples deixa uma parte importante da conta sem explicação. Quem examina o valor devido precisa conseguir identificar quanto veio da correção, quanto veio dos juros e como a interação entre essas parcelas levou ao saldo final.</w:t>
      </w:r>
    </w:p>
    <w:p>
      <w:pPr>
        <w:pStyle w:val="Heading1"/>
      </w:pPr>
      <w:r>
        <w:t>Fontes e método</w:t>
      </w:r>
    </w:p>
    <w:p>
      <w:r>
        <w:t>[1] Presidência da República, Lei nº 14.905, de 28 de junho de 2024, artigo 2º, alterações dos artigos 389 e 406 do Código Civil.</w:t>
      </w:r>
    </w:p>
    <w:p>
      <w:r>
        <w:rPr>
          <w:sz w:val="18"/>
        </w:rPr>
        <w:t>https://www.planalto.gov.br/ccivil_03/_ato2023-2026/2024/lei/l14905.htm</w:t>
      </w:r>
    </w:p>
    <w:p>
      <w:r>
        <w:t>[2] Conselho Monetário Nacional, Resolução CMN nº 5.171, de 29 de agosto de 2024, artigos 2º a 7º.</w:t>
      </w:r>
    </w:p>
    <w:p>
      <w:r>
        <w:rPr>
          <w:sz w:val="18"/>
        </w:rPr>
        <w:t>https://www.bcb.gov.br/estabilidadefinanceira/exibenormativo?numero=5171&amp;tipo=resolu%C3%A7%C3%A3o+cmn</w:t>
      </w:r>
    </w:p>
    <w:p>
      <w:r>
        <w:t>[3] Banco Central do Brasil, Metodologia da Correção pela Taxa Legal, Calculadora do Cidadão, consulta em 14 de setembro de 2026.</w:t>
      </w:r>
    </w:p>
    <w:p>
      <w:r>
        <w:rPr>
          <w:sz w:val="18"/>
        </w:rPr>
        <w:t>https://www3.bcb.gov.br/CALCIDADAO/publico/metodologiaCorrigirPelaTaxaLegal.do?method=metodologiaCorrigirPelaTaxaLegal</w:t>
      </w:r>
    </w:p>
    <w:p>
      <w:r>
        <w:t>Simulações didáticas elaboradas pelo autor, com taxas constantes e hipóteses explicitadas. Não representam atualização de dívida concreta nem dispensam o exame do contrato, do título judicial, dos marcos de incidência e do regime aplicável. A expressão ‘maquiagem’ identifica a opinião do autor sobre a apresentação econômica do mecanismo, sem atribuir intenção oculta ao legislador.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368" w:right="1224" w:bottom="1080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Vinícius Costa | Costa Nova Associados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325880" cy="310753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logo_preto_si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5880" cy="310753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Lines/>
      <w:spacing w:after="160" w:line="269" w:lineRule="auto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14.905/24: a SELIC continua regendo a conta</dc:title>
  <dc:subject/>
  <dc:creator>Vinícius Costa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